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C1B0EE" w14:textId="3EBCD385" w:rsidR="00667792" w:rsidRPr="00AD728D" w:rsidRDefault="00BC3A11">
      <w:pPr>
        <w:spacing w:after="0"/>
        <w:jc w:val="right"/>
        <w:rPr>
          <w:rFonts w:ascii="Arial" w:hAnsi="Arial" w:cs="Arial"/>
          <w:b/>
          <w:bCs/>
          <w:color w:val="auto"/>
        </w:rPr>
      </w:pPr>
      <w:r w:rsidRPr="00AD728D">
        <w:rPr>
          <w:rFonts w:ascii="Arial" w:hAnsi="Arial" w:cs="Arial"/>
          <w:b/>
          <w:bCs/>
          <w:color w:val="auto"/>
        </w:rPr>
        <w:t>Pour publication immédiate</w:t>
      </w:r>
    </w:p>
    <w:p w14:paraId="11AD7401" w14:textId="4DB3CA79" w:rsidR="00667792" w:rsidRPr="00AD728D" w:rsidRDefault="00BC3A11">
      <w:pPr>
        <w:spacing w:after="0"/>
        <w:rPr>
          <w:rFonts w:ascii="Arial" w:hAnsi="Arial" w:cs="Arial"/>
          <w:b/>
          <w:color w:val="auto"/>
        </w:rPr>
      </w:pPr>
      <w:r w:rsidRPr="00AD728D">
        <w:rPr>
          <w:rFonts w:ascii="Arial" w:hAnsi="Arial" w:cs="Arial"/>
          <w:b/>
          <w:color w:val="auto"/>
        </w:rPr>
        <w:t>COMMUNIQUÉ</w:t>
      </w:r>
      <w:r w:rsidR="00B92D95">
        <w:rPr>
          <w:rFonts w:ascii="Arial" w:hAnsi="Arial" w:cs="Arial"/>
          <w:b/>
          <w:color w:val="auto"/>
        </w:rPr>
        <w:t xml:space="preserve"> DE PRESSE</w:t>
      </w:r>
    </w:p>
    <w:p w14:paraId="46480029" w14:textId="77777777" w:rsidR="00667792" w:rsidRDefault="00667792">
      <w:pPr>
        <w:spacing w:after="0"/>
        <w:rPr>
          <w:rFonts w:ascii="Arial" w:hAnsi="Arial" w:cs="Arial"/>
          <w:b/>
          <w:color w:val="auto"/>
        </w:rPr>
      </w:pPr>
    </w:p>
    <w:p w14:paraId="56085823" w14:textId="11178E10" w:rsidR="006924A1" w:rsidRDefault="0075217C">
      <w:pPr>
        <w:spacing w:after="0"/>
        <w:rPr>
          <w:rFonts w:ascii="Arial" w:hAnsi="Arial" w:cs="Arial"/>
          <w:bCs/>
          <w:color w:val="auto"/>
          <w:u w:val="single"/>
        </w:rPr>
      </w:pPr>
      <w:r w:rsidRPr="0075217C">
        <w:rPr>
          <w:rFonts w:ascii="Arial" w:hAnsi="Arial" w:cs="Arial"/>
          <w:bCs/>
          <w:color w:val="auto"/>
          <w:u w:val="single"/>
        </w:rPr>
        <w:t>Réaction aux propos de Pierre Poilievre sur l’itinérance</w:t>
      </w:r>
    </w:p>
    <w:p w14:paraId="709E2488" w14:textId="77777777" w:rsidR="0075217C" w:rsidRPr="0075217C" w:rsidRDefault="0075217C">
      <w:pPr>
        <w:spacing w:after="0"/>
        <w:rPr>
          <w:rFonts w:ascii="Arial" w:hAnsi="Arial" w:cs="Arial"/>
          <w:bCs/>
          <w:color w:val="auto"/>
          <w:sz w:val="16"/>
          <w:szCs w:val="16"/>
          <w:u w:val="single"/>
        </w:rPr>
      </w:pPr>
    </w:p>
    <w:p w14:paraId="49898B88" w14:textId="0D46A4F8" w:rsidR="00C01127" w:rsidRPr="00AD728D" w:rsidRDefault="006924A1" w:rsidP="00181831">
      <w:pPr>
        <w:jc w:val="both"/>
        <w:rPr>
          <w:rFonts w:ascii="Arial" w:hAnsi="Arial" w:cs="Arial"/>
          <w:b/>
          <w:color w:val="auto"/>
          <w:sz w:val="32"/>
          <w:szCs w:val="32"/>
        </w:rPr>
      </w:pPr>
      <w:r w:rsidRPr="006924A1">
        <w:rPr>
          <w:rFonts w:ascii="Arial" w:hAnsi="Arial" w:cs="Arial"/>
          <w:b/>
          <w:color w:val="auto"/>
          <w:sz w:val="32"/>
          <w:szCs w:val="32"/>
        </w:rPr>
        <w:t>Démanteler les campements n’est pas une solution</w:t>
      </w:r>
    </w:p>
    <w:p w14:paraId="043399FA" w14:textId="1CAAEFD1" w:rsidR="00E07ACD" w:rsidRPr="00E03931" w:rsidRDefault="00E07ACD" w:rsidP="00E07ACD">
      <w:pPr>
        <w:spacing w:after="160" w:line="240" w:lineRule="auto"/>
        <w:jc w:val="both"/>
        <w:rPr>
          <w:rFonts w:ascii="Arial" w:hAnsi="Arial" w:cs="Arial"/>
          <w:color w:val="auto"/>
          <w:sz w:val="22"/>
          <w:szCs w:val="22"/>
        </w:rPr>
      </w:pPr>
      <w:r w:rsidRPr="00E03931">
        <w:rPr>
          <w:rFonts w:ascii="Arial" w:hAnsi="Arial" w:cs="Arial"/>
          <w:b/>
          <w:bCs/>
          <w:color w:val="auto"/>
          <w:sz w:val="22"/>
          <w:szCs w:val="22"/>
        </w:rPr>
        <w:t>Québec, le 2</w:t>
      </w:r>
      <w:r w:rsidR="003B44C7">
        <w:rPr>
          <w:rFonts w:ascii="Arial" w:hAnsi="Arial" w:cs="Arial"/>
          <w:b/>
          <w:bCs/>
          <w:color w:val="auto"/>
          <w:sz w:val="22"/>
          <w:szCs w:val="22"/>
        </w:rPr>
        <w:t>5</w:t>
      </w:r>
      <w:r w:rsidR="00AC6374">
        <w:rPr>
          <w:rFonts w:ascii="Arial" w:hAnsi="Arial" w:cs="Arial"/>
          <w:b/>
          <w:bCs/>
          <w:color w:val="auto"/>
          <w:sz w:val="22"/>
          <w:szCs w:val="22"/>
        </w:rPr>
        <w:t> </w:t>
      </w:r>
      <w:r w:rsidRPr="00E03931">
        <w:rPr>
          <w:rFonts w:ascii="Arial" w:hAnsi="Arial" w:cs="Arial"/>
          <w:b/>
          <w:bCs/>
          <w:color w:val="auto"/>
          <w:sz w:val="22"/>
          <w:szCs w:val="22"/>
        </w:rPr>
        <w:t>avril 2025</w:t>
      </w:r>
      <w:r w:rsidRPr="00E03931">
        <w:rPr>
          <w:rFonts w:ascii="Arial" w:hAnsi="Arial" w:cs="Arial"/>
          <w:color w:val="auto"/>
          <w:sz w:val="22"/>
          <w:szCs w:val="22"/>
        </w:rPr>
        <w:t xml:space="preserve"> — À une semaine du scrutin fédéral, le chef conservateur Pierre Poilievre promet une loi pour permettre aux forces policières de démanteler les campements </w:t>
      </w:r>
      <w:r w:rsidRPr="00E07ACD">
        <w:rPr>
          <w:rFonts w:ascii="Arial" w:hAnsi="Arial" w:cs="Arial"/>
          <w:color w:val="auto"/>
          <w:sz w:val="22"/>
          <w:szCs w:val="22"/>
        </w:rPr>
        <w:t>«</w:t>
      </w:r>
      <w:r w:rsidR="00AC6374">
        <w:rPr>
          <w:rFonts w:ascii="Arial" w:hAnsi="Arial" w:cs="Arial"/>
          <w:color w:val="auto"/>
          <w:sz w:val="22"/>
          <w:szCs w:val="22"/>
        </w:rPr>
        <w:t> </w:t>
      </w:r>
      <w:r w:rsidRPr="00E07ACD">
        <w:rPr>
          <w:rFonts w:ascii="Arial" w:hAnsi="Arial" w:cs="Arial"/>
          <w:color w:val="auto"/>
          <w:sz w:val="22"/>
          <w:szCs w:val="22"/>
        </w:rPr>
        <w:t>illégaux</w:t>
      </w:r>
      <w:r w:rsidR="00AC6374">
        <w:rPr>
          <w:rFonts w:ascii="Arial" w:hAnsi="Arial" w:cs="Arial"/>
          <w:color w:val="auto"/>
          <w:sz w:val="22"/>
          <w:szCs w:val="22"/>
        </w:rPr>
        <w:t> </w:t>
      </w:r>
      <w:r w:rsidRPr="00E07ACD">
        <w:rPr>
          <w:rFonts w:ascii="Arial" w:hAnsi="Arial" w:cs="Arial"/>
          <w:color w:val="auto"/>
          <w:sz w:val="22"/>
          <w:szCs w:val="22"/>
        </w:rPr>
        <w:t>»</w:t>
      </w:r>
      <w:r w:rsidRPr="00E03931">
        <w:rPr>
          <w:rFonts w:ascii="Arial" w:hAnsi="Arial" w:cs="Arial"/>
          <w:color w:val="auto"/>
          <w:sz w:val="22"/>
          <w:szCs w:val="22"/>
        </w:rPr>
        <w:t>. Le Réseau SOLIDARITÉ Itinérance du Québec (RSIQ) s’oppose fermement à cette approche répressive, qui ne fera qu’aggraver la crise actuelle.</w:t>
      </w:r>
    </w:p>
    <w:p w14:paraId="4AA6CEA8" w14:textId="59133527" w:rsidR="00E07ACD" w:rsidRPr="00E07ACD" w:rsidRDefault="00E07ACD" w:rsidP="00E07ACD">
      <w:pPr>
        <w:spacing w:line="240" w:lineRule="auto"/>
        <w:jc w:val="both"/>
        <w:rPr>
          <w:rFonts w:ascii="Arial" w:hAnsi="Arial" w:cs="Arial"/>
          <w:color w:val="auto"/>
          <w:sz w:val="22"/>
          <w:szCs w:val="22"/>
        </w:rPr>
      </w:pPr>
      <w:r w:rsidRPr="00E07ACD">
        <w:rPr>
          <w:rFonts w:ascii="Arial" w:hAnsi="Arial" w:cs="Arial"/>
          <w:color w:val="auto"/>
          <w:sz w:val="22"/>
          <w:szCs w:val="22"/>
        </w:rPr>
        <w:t>«</w:t>
      </w:r>
      <w:r w:rsidR="00AC6374">
        <w:rPr>
          <w:rFonts w:ascii="Arial" w:hAnsi="Arial" w:cs="Arial"/>
          <w:i/>
          <w:iCs/>
          <w:color w:val="auto"/>
          <w:sz w:val="22"/>
          <w:szCs w:val="22"/>
        </w:rPr>
        <w:t> </w:t>
      </w:r>
      <w:r w:rsidRPr="00E07ACD">
        <w:rPr>
          <w:rFonts w:ascii="Arial" w:hAnsi="Arial" w:cs="Arial"/>
          <w:i/>
          <w:iCs/>
          <w:color w:val="auto"/>
          <w:sz w:val="22"/>
          <w:szCs w:val="22"/>
        </w:rPr>
        <w:t>Démonter les campements ne règle rien : on déplace la misère et on fragilise des personnes déjà vulnérables. On ne réduit pas l’itinérance en criminalisant les moyens employés par les personnes pour survivre : on l’aggrave, on la rend plus coûteuse et plus invisible</w:t>
      </w:r>
      <w:r w:rsidR="00AC6374">
        <w:rPr>
          <w:rFonts w:ascii="Arial" w:hAnsi="Arial" w:cs="Arial"/>
          <w:color w:val="auto"/>
          <w:sz w:val="22"/>
          <w:szCs w:val="22"/>
        </w:rPr>
        <w:t> </w:t>
      </w:r>
      <w:r w:rsidRPr="00E07ACD">
        <w:rPr>
          <w:rFonts w:ascii="Arial" w:hAnsi="Arial" w:cs="Arial"/>
          <w:color w:val="auto"/>
          <w:sz w:val="22"/>
          <w:szCs w:val="22"/>
        </w:rPr>
        <w:t>», déclare Gabriel Pallotta, président du RSIQ.</w:t>
      </w:r>
    </w:p>
    <w:p w14:paraId="7C52DDC4" w14:textId="77777777" w:rsidR="00E07ACD" w:rsidRPr="00E03931" w:rsidRDefault="00E07ACD" w:rsidP="00E07ACD">
      <w:pPr>
        <w:spacing w:after="160" w:line="240" w:lineRule="auto"/>
        <w:jc w:val="both"/>
        <w:rPr>
          <w:rFonts w:ascii="Arial" w:hAnsi="Arial" w:cs="Arial"/>
          <w:b/>
          <w:bCs/>
          <w:color w:val="auto"/>
          <w:sz w:val="22"/>
          <w:szCs w:val="22"/>
        </w:rPr>
      </w:pPr>
      <w:r w:rsidRPr="00E03931">
        <w:rPr>
          <w:rFonts w:ascii="Arial" w:hAnsi="Arial" w:cs="Arial"/>
          <w:b/>
          <w:bCs/>
          <w:color w:val="auto"/>
          <w:sz w:val="22"/>
          <w:szCs w:val="22"/>
        </w:rPr>
        <w:t>Ce qu’il faut, c’est du logement</w:t>
      </w:r>
      <w:r w:rsidRPr="00E07ACD">
        <w:rPr>
          <w:rFonts w:ascii="Arial" w:hAnsi="Arial" w:cs="Arial"/>
          <w:b/>
          <w:bCs/>
          <w:color w:val="auto"/>
          <w:sz w:val="22"/>
          <w:szCs w:val="22"/>
        </w:rPr>
        <w:t>, d</w:t>
      </w:r>
      <w:r w:rsidRPr="00E03931">
        <w:rPr>
          <w:rFonts w:ascii="Arial" w:hAnsi="Arial" w:cs="Arial"/>
          <w:b/>
          <w:bCs/>
          <w:color w:val="auto"/>
          <w:sz w:val="22"/>
          <w:szCs w:val="22"/>
        </w:rPr>
        <w:t>es soins</w:t>
      </w:r>
      <w:r w:rsidRPr="00E07ACD">
        <w:rPr>
          <w:rFonts w:ascii="Arial" w:hAnsi="Arial" w:cs="Arial"/>
          <w:b/>
          <w:bCs/>
          <w:color w:val="auto"/>
          <w:sz w:val="22"/>
          <w:szCs w:val="22"/>
        </w:rPr>
        <w:t xml:space="preserve"> et d</w:t>
      </w:r>
      <w:r w:rsidRPr="00E03931">
        <w:rPr>
          <w:rFonts w:ascii="Arial" w:hAnsi="Arial" w:cs="Arial"/>
          <w:b/>
          <w:bCs/>
          <w:color w:val="auto"/>
          <w:sz w:val="22"/>
          <w:szCs w:val="22"/>
        </w:rPr>
        <w:t>u soutien.</w:t>
      </w:r>
    </w:p>
    <w:p w14:paraId="1212A723" w14:textId="70FFC866" w:rsidR="00E07ACD" w:rsidRPr="00E07ACD" w:rsidRDefault="00E07ACD" w:rsidP="00E07ACD">
      <w:pPr>
        <w:rPr>
          <w:rFonts w:ascii="Arial" w:hAnsi="Arial" w:cs="Arial"/>
          <w:color w:val="auto"/>
          <w:sz w:val="22"/>
          <w:szCs w:val="22"/>
        </w:rPr>
      </w:pPr>
      <w:r w:rsidRPr="00E07ACD">
        <w:rPr>
          <w:rFonts w:ascii="Arial" w:hAnsi="Arial" w:cs="Arial"/>
          <w:color w:val="auto"/>
          <w:sz w:val="22"/>
          <w:szCs w:val="22"/>
        </w:rPr>
        <w:t>M.</w:t>
      </w:r>
      <w:r w:rsidR="00AC6374">
        <w:rPr>
          <w:rFonts w:ascii="Arial" w:hAnsi="Arial" w:cs="Arial"/>
          <w:color w:val="auto"/>
          <w:sz w:val="22"/>
          <w:szCs w:val="22"/>
        </w:rPr>
        <w:t> </w:t>
      </w:r>
      <w:r w:rsidRPr="00E07ACD">
        <w:rPr>
          <w:rFonts w:ascii="Arial" w:hAnsi="Arial" w:cs="Arial"/>
          <w:color w:val="auto"/>
          <w:sz w:val="22"/>
          <w:szCs w:val="22"/>
        </w:rPr>
        <w:t>Poilievre touche juste sur un point</w:t>
      </w:r>
      <w:r w:rsidR="00AC6374">
        <w:rPr>
          <w:rFonts w:ascii="Arial" w:hAnsi="Arial" w:cs="Arial"/>
          <w:color w:val="auto"/>
          <w:sz w:val="22"/>
          <w:szCs w:val="22"/>
        </w:rPr>
        <w:t> </w:t>
      </w:r>
      <w:r w:rsidRPr="00E07ACD">
        <w:rPr>
          <w:rFonts w:ascii="Arial" w:hAnsi="Arial" w:cs="Arial"/>
          <w:color w:val="auto"/>
          <w:sz w:val="22"/>
          <w:szCs w:val="22"/>
        </w:rPr>
        <w:t>: sortir de l’itinérance ne se résume pas à offrir un toit. Mais croire que la police est l’acteur clé pour y répondre relève d’une profonde méconnaissance du problème. Ce qu’il faut, ce sont des solutions humaines, coordonnées et intersectorielles</w:t>
      </w:r>
      <w:r w:rsidR="00AC6374">
        <w:rPr>
          <w:rFonts w:ascii="Arial" w:hAnsi="Arial" w:cs="Arial"/>
          <w:color w:val="auto"/>
          <w:sz w:val="22"/>
          <w:szCs w:val="22"/>
        </w:rPr>
        <w:t> </w:t>
      </w:r>
      <w:r w:rsidRPr="00E07ACD">
        <w:rPr>
          <w:rFonts w:ascii="Arial" w:hAnsi="Arial" w:cs="Arial"/>
          <w:color w:val="auto"/>
          <w:sz w:val="22"/>
          <w:szCs w:val="22"/>
        </w:rPr>
        <w:t xml:space="preserve">: du logement social, un revenu décent, des soins accessibles et un filet de soutien solide. </w:t>
      </w:r>
    </w:p>
    <w:p w14:paraId="70A291CD" w14:textId="77777777" w:rsidR="00E07ACD" w:rsidRPr="00E03931" w:rsidRDefault="00E07ACD" w:rsidP="00E07ACD">
      <w:pPr>
        <w:rPr>
          <w:rFonts w:ascii="Arial" w:hAnsi="Arial" w:cs="Arial"/>
          <w:color w:val="auto"/>
          <w:sz w:val="22"/>
          <w:szCs w:val="22"/>
        </w:rPr>
      </w:pPr>
      <w:r w:rsidRPr="00E07ACD">
        <w:rPr>
          <w:rFonts w:ascii="Arial" w:hAnsi="Arial" w:cs="Arial"/>
          <w:color w:val="auto"/>
          <w:sz w:val="22"/>
          <w:szCs w:val="22"/>
        </w:rPr>
        <w:t>Les campements ne sont pas la cause de la crise, mais le symptôme d’un filet social déchiré. Les démanteler, c’est effacer le problème des yeux sans rien régler. La réponse, c’est d’agir en amont — avec compassion, cohérence et courage.</w:t>
      </w:r>
    </w:p>
    <w:p w14:paraId="27C04622" w14:textId="381F83F0" w:rsidR="00E07ACD" w:rsidRPr="00E03931" w:rsidRDefault="00E07ACD" w:rsidP="00E07ACD">
      <w:pPr>
        <w:spacing w:after="160" w:line="240" w:lineRule="auto"/>
        <w:jc w:val="both"/>
        <w:rPr>
          <w:rFonts w:ascii="Arial" w:hAnsi="Arial" w:cs="Arial"/>
          <w:b/>
          <w:bCs/>
          <w:color w:val="auto"/>
          <w:sz w:val="22"/>
          <w:szCs w:val="22"/>
        </w:rPr>
      </w:pPr>
      <w:r w:rsidRPr="00E03931">
        <w:rPr>
          <w:rFonts w:ascii="Arial" w:hAnsi="Arial" w:cs="Arial"/>
          <w:b/>
          <w:bCs/>
          <w:color w:val="auto"/>
          <w:sz w:val="22"/>
          <w:szCs w:val="22"/>
        </w:rPr>
        <w:t>Un constat partagé</w:t>
      </w:r>
      <w:r w:rsidR="00AC6374">
        <w:rPr>
          <w:rFonts w:ascii="Arial" w:hAnsi="Arial" w:cs="Arial"/>
          <w:b/>
          <w:bCs/>
          <w:color w:val="auto"/>
          <w:sz w:val="22"/>
          <w:szCs w:val="22"/>
        </w:rPr>
        <w:t> </w:t>
      </w:r>
      <w:r w:rsidRPr="00E03931">
        <w:rPr>
          <w:rFonts w:ascii="Arial" w:hAnsi="Arial" w:cs="Arial"/>
          <w:b/>
          <w:bCs/>
          <w:color w:val="auto"/>
          <w:sz w:val="22"/>
          <w:szCs w:val="22"/>
        </w:rPr>
        <w:t>: l’échec d’une approche punitive</w:t>
      </w:r>
    </w:p>
    <w:p w14:paraId="164F461E" w14:textId="4B7B6F44" w:rsidR="00E07ACD" w:rsidRPr="00E07ACD" w:rsidRDefault="00E07ACD" w:rsidP="00E07ACD">
      <w:pPr>
        <w:spacing w:line="240" w:lineRule="auto"/>
        <w:rPr>
          <w:rFonts w:ascii="Arial" w:eastAsia="Calibri" w:hAnsi="Arial" w:cs="Arial"/>
          <w:color w:val="auto"/>
          <w:sz w:val="22"/>
          <w:szCs w:val="22"/>
        </w:rPr>
      </w:pPr>
      <w:r w:rsidRPr="00E03931">
        <w:rPr>
          <w:rFonts w:ascii="Arial" w:hAnsi="Arial" w:cs="Arial"/>
          <w:color w:val="auto"/>
          <w:sz w:val="22"/>
          <w:szCs w:val="22"/>
        </w:rPr>
        <w:t>Le récent rapport de la Défenseure fédérale du logement, Marie-Josée Houle, est sans équivoque</w:t>
      </w:r>
      <w:r w:rsidR="00AC6374">
        <w:rPr>
          <w:rFonts w:ascii="Arial" w:hAnsi="Arial" w:cs="Arial"/>
          <w:color w:val="auto"/>
          <w:sz w:val="22"/>
          <w:szCs w:val="22"/>
        </w:rPr>
        <w:t> </w:t>
      </w:r>
      <w:r w:rsidRPr="00E03931">
        <w:rPr>
          <w:rFonts w:ascii="Arial" w:hAnsi="Arial" w:cs="Arial"/>
          <w:color w:val="auto"/>
          <w:sz w:val="22"/>
          <w:szCs w:val="22"/>
        </w:rPr>
        <w:t xml:space="preserve">: </w:t>
      </w:r>
      <w:r w:rsidRPr="00E07ACD">
        <w:rPr>
          <w:rFonts w:ascii="Arial" w:eastAsia="Calibri" w:hAnsi="Arial" w:cs="Arial"/>
          <w:color w:val="auto"/>
          <w:sz w:val="22"/>
          <w:szCs w:val="22"/>
        </w:rPr>
        <w:t xml:space="preserve">la situation des campements au Canada s’apparente à une double crise des droits de la personne. D’une part, elle résulte du non-respect du droit au logement. D’autre part, les municipalités, souvent laissées à elles-mêmes, ne disposent pas des outils pour répondre adéquatement aux besoins. </w:t>
      </w:r>
    </w:p>
    <w:p w14:paraId="7A41B67A" w14:textId="77777777" w:rsidR="00E07ACD" w:rsidRPr="00E03931" w:rsidRDefault="00E07ACD" w:rsidP="00E07ACD">
      <w:pPr>
        <w:spacing w:after="160" w:line="240" w:lineRule="auto"/>
        <w:rPr>
          <w:rFonts w:ascii="Arial" w:hAnsi="Arial" w:cs="Arial"/>
          <w:color w:val="auto"/>
          <w:sz w:val="22"/>
          <w:szCs w:val="22"/>
        </w:rPr>
      </w:pPr>
      <w:r w:rsidRPr="00E07ACD">
        <w:rPr>
          <w:rFonts w:ascii="Arial" w:hAnsi="Arial" w:cs="Arial"/>
          <w:color w:val="auto"/>
          <w:sz w:val="22"/>
          <w:szCs w:val="22"/>
        </w:rPr>
        <w:t>La</w:t>
      </w:r>
      <w:r w:rsidRPr="00E03931">
        <w:rPr>
          <w:rFonts w:ascii="Arial" w:hAnsi="Arial" w:cs="Arial"/>
          <w:color w:val="auto"/>
          <w:sz w:val="22"/>
          <w:szCs w:val="22"/>
        </w:rPr>
        <w:t xml:space="preserve"> Défenseure fédérale du logement</w:t>
      </w:r>
      <w:r w:rsidRPr="00E07ACD">
        <w:rPr>
          <w:rFonts w:ascii="Arial" w:eastAsia="Calibri" w:hAnsi="Arial" w:cs="Arial"/>
          <w:color w:val="auto"/>
          <w:sz w:val="22"/>
          <w:szCs w:val="22"/>
        </w:rPr>
        <w:t xml:space="preserve"> demande un plan qui doit inclure des engagements clairs</w:t>
      </w:r>
      <w:r w:rsidRPr="00E03931">
        <w:rPr>
          <w:rFonts w:ascii="Arial" w:hAnsi="Arial" w:cs="Arial"/>
          <w:color w:val="auto"/>
          <w:sz w:val="22"/>
          <w:szCs w:val="22"/>
        </w:rPr>
        <w:t>, incluant la fin des expulsions forcées.</w:t>
      </w:r>
    </w:p>
    <w:p w14:paraId="46024E65" w14:textId="77777777" w:rsidR="00E07ACD" w:rsidRPr="00E03931" w:rsidRDefault="00E07ACD" w:rsidP="00E07ACD">
      <w:pPr>
        <w:spacing w:after="160" w:line="240" w:lineRule="auto"/>
        <w:jc w:val="both"/>
        <w:rPr>
          <w:rFonts w:ascii="Arial" w:hAnsi="Arial" w:cs="Arial"/>
          <w:b/>
          <w:bCs/>
          <w:color w:val="auto"/>
          <w:sz w:val="22"/>
          <w:szCs w:val="22"/>
        </w:rPr>
      </w:pPr>
      <w:r w:rsidRPr="00E03931">
        <w:rPr>
          <w:rFonts w:ascii="Arial" w:hAnsi="Arial" w:cs="Arial"/>
          <w:b/>
          <w:bCs/>
          <w:color w:val="auto"/>
          <w:sz w:val="22"/>
          <w:szCs w:val="22"/>
        </w:rPr>
        <w:t>Des solutions existent</w:t>
      </w:r>
    </w:p>
    <w:p w14:paraId="61865E11" w14:textId="16C4CD8C" w:rsidR="00E07ACD" w:rsidRPr="00E03931" w:rsidRDefault="00E07ACD" w:rsidP="00E07ACD">
      <w:pPr>
        <w:spacing w:after="160" w:line="240" w:lineRule="auto"/>
        <w:jc w:val="both"/>
        <w:rPr>
          <w:rFonts w:ascii="Arial" w:hAnsi="Arial" w:cs="Arial"/>
          <w:color w:val="auto"/>
          <w:sz w:val="22"/>
          <w:szCs w:val="22"/>
        </w:rPr>
      </w:pPr>
      <w:r w:rsidRPr="00E03931">
        <w:rPr>
          <w:rFonts w:ascii="Arial" w:hAnsi="Arial" w:cs="Arial"/>
          <w:color w:val="auto"/>
          <w:sz w:val="22"/>
          <w:szCs w:val="22"/>
        </w:rPr>
        <w:t xml:space="preserve">Adoptée lors des derniers États généraux de l’itinérance, la </w:t>
      </w:r>
      <w:r w:rsidRPr="00E03931">
        <w:rPr>
          <w:rFonts w:ascii="Arial" w:hAnsi="Arial" w:cs="Arial"/>
          <w:b/>
          <w:bCs/>
          <w:color w:val="auto"/>
          <w:sz w:val="22"/>
          <w:szCs w:val="22"/>
        </w:rPr>
        <w:t xml:space="preserve">Déclaration commune </w:t>
      </w:r>
      <w:r w:rsidRPr="00E03931">
        <w:rPr>
          <w:rFonts w:ascii="Arial" w:hAnsi="Arial" w:cs="Arial"/>
          <w:color w:val="auto"/>
          <w:sz w:val="22"/>
          <w:szCs w:val="22"/>
        </w:rPr>
        <w:t>propose</w:t>
      </w:r>
      <w:r w:rsidR="00AC6374">
        <w:rPr>
          <w:rFonts w:ascii="Arial" w:hAnsi="Arial" w:cs="Arial"/>
          <w:color w:val="auto"/>
          <w:sz w:val="22"/>
          <w:szCs w:val="22"/>
        </w:rPr>
        <w:t> </w:t>
      </w:r>
      <w:r w:rsidRPr="00E03931">
        <w:rPr>
          <w:rFonts w:ascii="Arial" w:hAnsi="Arial" w:cs="Arial"/>
          <w:color w:val="auto"/>
          <w:sz w:val="22"/>
          <w:szCs w:val="22"/>
        </w:rPr>
        <w:t>:</w:t>
      </w:r>
    </w:p>
    <w:p w14:paraId="7AD3A929" w14:textId="77777777" w:rsidR="00E07ACD" w:rsidRPr="00E07ACD" w:rsidRDefault="00E07ACD" w:rsidP="00E07ACD">
      <w:pPr>
        <w:pStyle w:val="Paragraphedeliste"/>
        <w:numPr>
          <w:ilvl w:val="0"/>
          <w:numId w:val="5"/>
        </w:numPr>
        <w:spacing w:line="240" w:lineRule="auto"/>
        <w:jc w:val="both"/>
        <w:rPr>
          <w:rFonts w:ascii="Arial" w:hAnsi="Arial" w:cs="Arial"/>
          <w:sz w:val="22"/>
          <w:szCs w:val="22"/>
        </w:rPr>
      </w:pPr>
      <w:r w:rsidRPr="00E07ACD">
        <w:rPr>
          <w:rFonts w:ascii="Arial" w:hAnsi="Arial" w:cs="Arial"/>
          <w:sz w:val="22"/>
          <w:szCs w:val="22"/>
        </w:rPr>
        <w:t>Garantir le droit au logement par des investissements massifs dans le logement social et abordable.</w:t>
      </w:r>
    </w:p>
    <w:p w14:paraId="250D74D2" w14:textId="77777777" w:rsidR="00E07ACD" w:rsidRPr="00E07ACD" w:rsidRDefault="00E07ACD" w:rsidP="00E07ACD">
      <w:pPr>
        <w:pStyle w:val="Paragraphedeliste"/>
        <w:numPr>
          <w:ilvl w:val="0"/>
          <w:numId w:val="5"/>
        </w:numPr>
        <w:spacing w:line="240" w:lineRule="auto"/>
        <w:jc w:val="both"/>
        <w:rPr>
          <w:rFonts w:ascii="Arial" w:hAnsi="Arial" w:cs="Arial"/>
          <w:sz w:val="22"/>
          <w:szCs w:val="22"/>
        </w:rPr>
      </w:pPr>
      <w:r w:rsidRPr="00E07ACD">
        <w:rPr>
          <w:rFonts w:ascii="Arial" w:hAnsi="Arial" w:cs="Arial"/>
          <w:sz w:val="22"/>
          <w:szCs w:val="22"/>
        </w:rPr>
        <w:t>Assurer un revenu décent.</w:t>
      </w:r>
    </w:p>
    <w:p w14:paraId="10475790" w14:textId="77777777" w:rsidR="00E07ACD" w:rsidRPr="00E07ACD" w:rsidRDefault="00E07ACD" w:rsidP="00E07ACD">
      <w:pPr>
        <w:pStyle w:val="Paragraphedeliste"/>
        <w:numPr>
          <w:ilvl w:val="0"/>
          <w:numId w:val="5"/>
        </w:numPr>
        <w:spacing w:line="240" w:lineRule="auto"/>
        <w:jc w:val="both"/>
        <w:rPr>
          <w:rFonts w:ascii="Arial" w:hAnsi="Arial" w:cs="Arial"/>
          <w:sz w:val="22"/>
          <w:szCs w:val="22"/>
        </w:rPr>
      </w:pPr>
      <w:r w:rsidRPr="00E07ACD">
        <w:rPr>
          <w:rFonts w:ascii="Arial" w:hAnsi="Arial" w:cs="Arial"/>
          <w:sz w:val="22"/>
          <w:szCs w:val="22"/>
        </w:rPr>
        <w:t>Renforcer les services et la prévention (santé mentale, dépendances, soutien communautaire).</w:t>
      </w:r>
    </w:p>
    <w:p w14:paraId="1BF6D66D" w14:textId="77777777" w:rsidR="00E07ACD" w:rsidRPr="00E07ACD" w:rsidRDefault="00E07ACD" w:rsidP="00E07ACD">
      <w:pPr>
        <w:pStyle w:val="Paragraphedeliste"/>
        <w:numPr>
          <w:ilvl w:val="0"/>
          <w:numId w:val="5"/>
        </w:numPr>
        <w:spacing w:line="240" w:lineRule="auto"/>
        <w:jc w:val="both"/>
        <w:rPr>
          <w:rFonts w:ascii="Arial" w:hAnsi="Arial" w:cs="Arial"/>
          <w:sz w:val="22"/>
          <w:szCs w:val="22"/>
        </w:rPr>
      </w:pPr>
      <w:r w:rsidRPr="00E07ACD">
        <w:rPr>
          <w:rFonts w:ascii="Arial" w:hAnsi="Arial" w:cs="Arial"/>
          <w:sz w:val="22"/>
          <w:szCs w:val="22"/>
        </w:rPr>
        <w:lastRenderedPageBreak/>
        <w:t>Instaurer une réponse gouvernementale efficace et un financement stable.</w:t>
      </w:r>
    </w:p>
    <w:p w14:paraId="70E6B568" w14:textId="6BA445B2" w:rsidR="00B92D95" w:rsidRDefault="00E07ACD" w:rsidP="0021653B">
      <w:pPr>
        <w:spacing w:line="240" w:lineRule="auto"/>
        <w:jc w:val="both"/>
        <w:rPr>
          <w:rFonts w:ascii="Arial" w:hAnsi="Arial" w:cs="Arial"/>
          <w:color w:val="auto"/>
          <w:sz w:val="22"/>
          <w:szCs w:val="22"/>
        </w:rPr>
      </w:pPr>
      <w:r w:rsidRPr="00E03931">
        <w:rPr>
          <w:rFonts w:ascii="Arial" w:hAnsi="Arial" w:cs="Arial"/>
          <w:color w:val="auto"/>
          <w:sz w:val="22"/>
          <w:szCs w:val="22"/>
        </w:rPr>
        <w:t xml:space="preserve">Déjà </w:t>
      </w:r>
      <w:r w:rsidRPr="00E03931">
        <w:rPr>
          <w:rFonts w:ascii="Arial" w:hAnsi="Arial" w:cs="Arial"/>
          <w:b/>
          <w:bCs/>
          <w:color w:val="auto"/>
          <w:sz w:val="22"/>
          <w:szCs w:val="22"/>
        </w:rPr>
        <w:t>10</w:t>
      </w:r>
      <w:r w:rsidR="00AC6374">
        <w:rPr>
          <w:rFonts w:ascii="Arial" w:hAnsi="Arial" w:cs="Arial"/>
          <w:b/>
          <w:bCs/>
          <w:color w:val="auto"/>
          <w:sz w:val="22"/>
          <w:szCs w:val="22"/>
        </w:rPr>
        <w:t> </w:t>
      </w:r>
      <w:r w:rsidRPr="00E03931">
        <w:rPr>
          <w:rFonts w:ascii="Arial" w:hAnsi="Arial" w:cs="Arial"/>
          <w:b/>
          <w:bCs/>
          <w:color w:val="auto"/>
          <w:sz w:val="22"/>
          <w:szCs w:val="22"/>
        </w:rPr>
        <w:t>400</w:t>
      </w:r>
      <w:r w:rsidR="00AC6374">
        <w:rPr>
          <w:rFonts w:ascii="Arial" w:hAnsi="Arial" w:cs="Arial"/>
          <w:b/>
          <w:bCs/>
          <w:color w:val="auto"/>
          <w:sz w:val="22"/>
          <w:szCs w:val="22"/>
        </w:rPr>
        <w:t> </w:t>
      </w:r>
      <w:r w:rsidRPr="00E03931">
        <w:rPr>
          <w:rFonts w:ascii="Arial" w:hAnsi="Arial" w:cs="Arial"/>
          <w:b/>
          <w:bCs/>
          <w:color w:val="auto"/>
          <w:sz w:val="22"/>
          <w:szCs w:val="22"/>
        </w:rPr>
        <w:t>personnes</w:t>
      </w:r>
      <w:r w:rsidRPr="00E03931">
        <w:rPr>
          <w:rFonts w:ascii="Arial" w:hAnsi="Arial" w:cs="Arial"/>
          <w:color w:val="auto"/>
          <w:sz w:val="22"/>
          <w:szCs w:val="22"/>
        </w:rPr>
        <w:t xml:space="preserve"> ont signé cette déclaration</w:t>
      </w:r>
      <w:r w:rsidR="0021653B">
        <w:rPr>
          <w:rFonts w:ascii="Arial" w:hAnsi="Arial" w:cs="Arial"/>
          <w:color w:val="auto"/>
          <w:sz w:val="22"/>
          <w:szCs w:val="22"/>
        </w:rPr>
        <w:t xml:space="preserve"> commune</w:t>
      </w:r>
      <w:r w:rsidRPr="00E03931">
        <w:rPr>
          <w:rFonts w:ascii="Arial" w:hAnsi="Arial" w:cs="Arial"/>
          <w:color w:val="auto"/>
          <w:sz w:val="22"/>
          <w:szCs w:val="22"/>
        </w:rPr>
        <w:t xml:space="preserve">. </w:t>
      </w:r>
      <w:r w:rsidRPr="00E07ACD">
        <w:rPr>
          <w:rFonts w:ascii="Arial" w:hAnsi="Arial" w:cs="Arial"/>
          <w:color w:val="auto"/>
          <w:sz w:val="22"/>
          <w:szCs w:val="22"/>
        </w:rPr>
        <w:t>Nous invitons tous les partis à l’appuyer. L’itinérance n’est pas une fatalité. Ensemble, renversons la tendance.</w:t>
      </w:r>
    </w:p>
    <w:p w14:paraId="5F5DC374" w14:textId="4E306A0D" w:rsidR="0021653B" w:rsidRDefault="003B44C7" w:rsidP="0021653B">
      <w:pPr>
        <w:spacing w:line="240" w:lineRule="auto"/>
        <w:jc w:val="both"/>
        <w:rPr>
          <w:rFonts w:ascii="Arial" w:hAnsi="Arial" w:cs="Arial"/>
          <w:color w:val="auto"/>
          <w:sz w:val="22"/>
          <w:szCs w:val="22"/>
        </w:rPr>
      </w:pPr>
      <w:r>
        <w:rPr>
          <w:rFonts w:ascii="Arial" w:hAnsi="Arial" w:cs="Arial"/>
          <w:b/>
          <w:bCs/>
          <w:color w:val="auto"/>
          <w:sz w:val="22"/>
          <w:szCs w:val="22"/>
        </w:rPr>
        <w:t>Pour signer la déclaration commune </w:t>
      </w:r>
      <w:r>
        <w:rPr>
          <w:rFonts w:ascii="Arial" w:hAnsi="Arial" w:cs="Arial"/>
          <w:color w:val="auto"/>
          <w:sz w:val="22"/>
          <w:szCs w:val="22"/>
        </w:rPr>
        <w:t xml:space="preserve">: </w:t>
      </w:r>
      <w:hyperlink r:id="rId7" w:tgtFrame="_blank" w:history="1">
        <w:r w:rsidRPr="003B44C7">
          <w:rPr>
            <w:rStyle w:val="Lienhypertexte"/>
            <w:rFonts w:ascii="Arial" w:hAnsi="Arial" w:cs="Arial"/>
            <w:sz w:val="22"/>
            <w:szCs w:val="22"/>
          </w:rPr>
          <w:t>www.itinerance.ca/declaration</w:t>
        </w:r>
      </w:hyperlink>
    </w:p>
    <w:p w14:paraId="4C98D2F8" w14:textId="77777777" w:rsidR="003B44C7" w:rsidRPr="003B44C7" w:rsidRDefault="003B44C7" w:rsidP="0021653B">
      <w:pPr>
        <w:spacing w:line="240" w:lineRule="auto"/>
        <w:jc w:val="both"/>
        <w:rPr>
          <w:rFonts w:ascii="Arial" w:hAnsi="Arial" w:cs="Arial"/>
          <w:color w:val="auto"/>
          <w:sz w:val="22"/>
          <w:szCs w:val="22"/>
        </w:rPr>
      </w:pPr>
    </w:p>
    <w:p w14:paraId="59B2A254" w14:textId="77777777" w:rsidR="00CE5680" w:rsidRPr="00AD728D" w:rsidRDefault="00CE5680" w:rsidP="00CE5680">
      <w:pPr>
        <w:jc w:val="both"/>
        <w:rPr>
          <w:rFonts w:ascii="Arial" w:hAnsi="Arial" w:cs="Arial"/>
          <w:b/>
          <w:color w:val="auto"/>
          <w:sz w:val="22"/>
          <w:szCs w:val="22"/>
        </w:rPr>
      </w:pPr>
      <w:r w:rsidRPr="00AD728D">
        <w:rPr>
          <w:rFonts w:ascii="Arial" w:hAnsi="Arial" w:cs="Arial"/>
          <w:b/>
          <w:color w:val="auto"/>
          <w:sz w:val="22"/>
          <w:szCs w:val="22"/>
        </w:rPr>
        <w:t>À propos du Réseau SOLIDARITÉ Itinérance du Québec</w:t>
      </w:r>
    </w:p>
    <w:p w14:paraId="350A6914" w14:textId="77777777" w:rsidR="00CE5680" w:rsidRPr="001F51A2" w:rsidRDefault="00CE5680" w:rsidP="00CE5680">
      <w:pPr>
        <w:jc w:val="both"/>
        <w:rPr>
          <w:rFonts w:ascii="Arial" w:hAnsi="Arial" w:cs="Arial"/>
          <w:color w:val="auto"/>
          <w:sz w:val="22"/>
          <w:szCs w:val="22"/>
        </w:rPr>
      </w:pPr>
      <w:r w:rsidRPr="00AD728D">
        <w:rPr>
          <w:rFonts w:ascii="Arial" w:hAnsi="Arial" w:cs="Arial"/>
          <w:color w:val="auto"/>
          <w:sz w:val="22"/>
          <w:szCs w:val="22"/>
        </w:rPr>
        <w:t>Le Réseau SOLIDARITÉ Itinérance du Québec a été créé en 1998 et consiste en un regroupement de quinze concertations régionales de lutte à l’itinérance et une vingtaine de membres associés, totalisant plus de 200</w:t>
      </w:r>
      <w:r>
        <w:rPr>
          <w:rFonts w:ascii="Arial" w:hAnsi="Arial" w:cs="Arial"/>
          <w:color w:val="auto"/>
          <w:sz w:val="22"/>
          <w:szCs w:val="22"/>
        </w:rPr>
        <w:t> </w:t>
      </w:r>
      <w:r w:rsidRPr="00AD728D">
        <w:rPr>
          <w:rFonts w:ascii="Arial" w:hAnsi="Arial" w:cs="Arial"/>
          <w:color w:val="auto"/>
          <w:sz w:val="22"/>
          <w:szCs w:val="22"/>
        </w:rPr>
        <w:t xml:space="preserve">organismes à travers le Québec qui visent entre autres </w:t>
      </w:r>
      <w:r w:rsidRPr="001F51A2">
        <w:rPr>
          <w:rFonts w:ascii="Arial" w:hAnsi="Arial" w:cs="Arial"/>
          <w:color w:val="auto"/>
          <w:sz w:val="22"/>
          <w:szCs w:val="22"/>
        </w:rPr>
        <w:t>à améliorer les conditions de vie des personnes en situation d’itinérance ou à risque de l’être.</w:t>
      </w:r>
    </w:p>
    <w:p w14:paraId="34032FE1" w14:textId="77777777" w:rsidR="007663EB" w:rsidRPr="007663EB" w:rsidRDefault="007663EB" w:rsidP="00D252BD">
      <w:pPr>
        <w:jc w:val="center"/>
        <w:rPr>
          <w:rFonts w:ascii="Arial" w:hAnsi="Arial" w:cs="Arial"/>
          <w:bCs/>
          <w:color w:val="auto"/>
          <w:sz w:val="22"/>
          <w:szCs w:val="22"/>
        </w:rPr>
      </w:pPr>
      <w:r w:rsidRPr="007663EB">
        <w:rPr>
          <w:rFonts w:ascii="Arial" w:hAnsi="Arial" w:cs="Arial"/>
          <w:bCs/>
          <w:color w:val="auto"/>
          <w:sz w:val="22"/>
          <w:szCs w:val="22"/>
        </w:rPr>
        <w:t>— 30 —</w:t>
      </w:r>
    </w:p>
    <w:p w14:paraId="79509A02" w14:textId="359F4E18" w:rsidR="007663EB" w:rsidRPr="007663EB" w:rsidRDefault="007663EB" w:rsidP="00D252BD">
      <w:pPr>
        <w:rPr>
          <w:rFonts w:ascii="Arial" w:hAnsi="Arial" w:cs="Arial"/>
          <w:bCs/>
          <w:color w:val="auto"/>
          <w:sz w:val="22"/>
          <w:szCs w:val="22"/>
        </w:rPr>
      </w:pPr>
      <w:r w:rsidRPr="007663EB">
        <w:rPr>
          <w:rFonts w:ascii="Arial" w:hAnsi="Arial" w:cs="Arial"/>
          <w:bCs/>
          <w:color w:val="auto"/>
          <w:sz w:val="22"/>
          <w:szCs w:val="22"/>
        </w:rPr>
        <w:br/>
      </w:r>
      <w:r w:rsidRPr="007663EB">
        <w:rPr>
          <w:rFonts w:ascii="Arial" w:hAnsi="Arial" w:cs="Arial"/>
          <w:b/>
          <w:bCs/>
          <w:color w:val="auto"/>
          <w:sz w:val="22"/>
          <w:szCs w:val="22"/>
        </w:rPr>
        <w:t>Pour information et demandes médias</w:t>
      </w:r>
      <w:r w:rsidR="004B6B0F">
        <w:rPr>
          <w:rFonts w:ascii="Arial" w:hAnsi="Arial" w:cs="Arial"/>
          <w:b/>
          <w:bCs/>
          <w:color w:val="auto"/>
          <w:sz w:val="22"/>
          <w:szCs w:val="22"/>
        </w:rPr>
        <w:t> </w:t>
      </w:r>
      <w:r w:rsidRPr="007663EB">
        <w:rPr>
          <w:rFonts w:ascii="Arial" w:hAnsi="Arial" w:cs="Arial"/>
          <w:b/>
          <w:bCs/>
          <w:color w:val="auto"/>
          <w:sz w:val="22"/>
          <w:szCs w:val="22"/>
        </w:rPr>
        <w:t>:</w:t>
      </w:r>
      <w:r w:rsidRPr="007663EB">
        <w:rPr>
          <w:rFonts w:ascii="Arial" w:hAnsi="Arial" w:cs="Arial"/>
          <w:bCs/>
          <w:color w:val="auto"/>
          <w:sz w:val="22"/>
          <w:szCs w:val="22"/>
        </w:rPr>
        <w:br/>
        <w:t>Jean-Maxime St-Hilaire</w:t>
      </w:r>
      <w:r w:rsidRPr="007663EB">
        <w:rPr>
          <w:rFonts w:ascii="Arial" w:hAnsi="Arial" w:cs="Arial"/>
          <w:bCs/>
          <w:color w:val="auto"/>
          <w:sz w:val="22"/>
          <w:szCs w:val="22"/>
        </w:rPr>
        <w:br/>
        <w:t>Flanagan Relations publiques</w:t>
      </w:r>
      <w:r w:rsidRPr="007663EB">
        <w:rPr>
          <w:rFonts w:ascii="Arial" w:hAnsi="Arial" w:cs="Arial"/>
          <w:bCs/>
          <w:color w:val="auto"/>
          <w:sz w:val="22"/>
          <w:szCs w:val="22"/>
        </w:rPr>
        <w:br/>
      </w:r>
      <w:hyperlink r:id="rId8" w:history="1">
        <w:r w:rsidR="0021653B" w:rsidRPr="00250B01">
          <w:rPr>
            <w:rStyle w:val="Lienhypertexte"/>
            <w:rFonts w:ascii="Arial" w:hAnsi="Arial" w:cs="Arial"/>
            <w:bCs/>
            <w:sz w:val="22"/>
            <w:szCs w:val="22"/>
          </w:rPr>
          <w:t>jean-maxime@flanaganrp.com</w:t>
        </w:r>
      </w:hyperlink>
      <w:r w:rsidR="0021653B">
        <w:rPr>
          <w:rFonts w:ascii="Arial" w:hAnsi="Arial" w:cs="Arial"/>
          <w:bCs/>
          <w:color w:val="auto"/>
          <w:sz w:val="22"/>
          <w:szCs w:val="22"/>
        </w:rPr>
        <w:t xml:space="preserve"> </w:t>
      </w:r>
      <w:r w:rsidRPr="007663EB">
        <w:rPr>
          <w:rFonts w:ascii="Arial" w:hAnsi="Arial" w:cs="Arial"/>
          <w:bCs/>
          <w:color w:val="auto"/>
          <w:sz w:val="22"/>
          <w:szCs w:val="22"/>
        </w:rPr>
        <w:br/>
        <w:t>438</w:t>
      </w:r>
      <w:r w:rsidR="004B6B0F">
        <w:rPr>
          <w:rFonts w:ascii="Arial" w:hAnsi="Arial" w:cs="Arial"/>
          <w:bCs/>
          <w:color w:val="auto"/>
          <w:sz w:val="22"/>
          <w:szCs w:val="22"/>
        </w:rPr>
        <w:t> </w:t>
      </w:r>
      <w:r w:rsidRPr="007663EB">
        <w:rPr>
          <w:rFonts w:ascii="Arial" w:hAnsi="Arial" w:cs="Arial"/>
          <w:bCs/>
          <w:color w:val="auto"/>
          <w:sz w:val="22"/>
          <w:szCs w:val="22"/>
        </w:rPr>
        <w:t>492-3811</w:t>
      </w:r>
    </w:p>
    <w:sectPr w:rsidR="007663EB" w:rsidRPr="007663EB">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A6861E" w14:textId="77777777" w:rsidR="00A71DB0" w:rsidRDefault="00A71DB0">
      <w:pPr>
        <w:spacing w:after="0" w:line="240" w:lineRule="auto"/>
      </w:pPr>
      <w:r>
        <w:separator/>
      </w:r>
    </w:p>
  </w:endnote>
  <w:endnote w:type="continuationSeparator" w:id="0">
    <w:p w14:paraId="3206B07C" w14:textId="77777777" w:rsidR="00A71DB0" w:rsidRDefault="00A71D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rlow">
    <w:charset w:val="00"/>
    <w:family w:val="auto"/>
    <w:pitch w:val="variable"/>
    <w:sig w:usb0="20000007" w:usb1="00000000" w:usb2="00000000" w:usb3="00000000" w:csb0="00000193" w:csb1="00000000"/>
    <w:embedRegular r:id="rId1" w:fontKey="{DCA72FF2-1E8C-44D9-BC08-C44D2004DC43}"/>
    <w:embedBold r:id="rId2" w:fontKey="{8B083E25-719D-4CC5-98BF-D50AECC9484D}"/>
    <w:embedItalic r:id="rId3" w:fontKey="{198BA140-2C76-4972-8BEB-DBE4442DED3F}"/>
  </w:font>
  <w:font w:name="Barlow SemiBold">
    <w:charset w:val="00"/>
    <w:family w:val="auto"/>
    <w:pitch w:val="variable"/>
    <w:sig w:usb0="20000007" w:usb1="00000000" w:usb2="00000000" w:usb3="00000000" w:csb0="00000193" w:csb1="00000000"/>
    <w:embedRegular r:id="rId4" w:fontKey="{8E094222-C3F3-42DC-8BAF-594C515BF640}"/>
  </w:font>
  <w:font w:name="Barlow Medium">
    <w:charset w:val="00"/>
    <w:family w:val="auto"/>
    <w:pitch w:val="variable"/>
    <w:sig w:usb0="20000007" w:usb1="00000000" w:usb2="00000000" w:usb3="00000000" w:csb0="00000193" w:csb1="00000000"/>
    <w:embedRegular r:id="rId5" w:fontKey="{F8E53207-24D3-4AF5-8FD1-732A4AF7C9B9}"/>
    <w:embedItalic r:id="rId6" w:fontKey="{02184A2B-EE97-4EE3-86C0-75E8AB051753}"/>
  </w:font>
  <w:font w:name="Barlow Light">
    <w:charset w:val="00"/>
    <w:family w:val="auto"/>
    <w:pitch w:val="variable"/>
    <w:sig w:usb0="20000007" w:usb1="00000000" w:usb2="00000000" w:usb3="00000000" w:csb0="00000193" w:csb1="00000000"/>
    <w:embedRegular r:id="rId7" w:fontKey="{CC7F424B-D65B-4CB4-9755-D2CAACA3D5C4}"/>
  </w:font>
  <w:font w:name="Cambria">
    <w:panose1 w:val="02040503050406030204"/>
    <w:charset w:val="00"/>
    <w:family w:val="roman"/>
    <w:pitch w:val="variable"/>
    <w:sig w:usb0="E00006FF" w:usb1="420024FF" w:usb2="02000000" w:usb3="00000000" w:csb0="0000019F" w:csb1="00000000"/>
    <w:embedRegular r:id="rId8" w:fontKey="{B7393160-F5DF-460B-8637-55BA0AE7650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9" w:fontKey="{854C8D25-D9E5-4B8B-B81D-4E79BDFB38E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F371E0" w14:textId="77777777" w:rsidR="00A71DB0" w:rsidRDefault="00A71DB0">
      <w:pPr>
        <w:spacing w:after="0" w:line="240" w:lineRule="auto"/>
      </w:pPr>
      <w:r>
        <w:separator/>
      </w:r>
    </w:p>
  </w:footnote>
  <w:footnote w:type="continuationSeparator" w:id="0">
    <w:p w14:paraId="337C54A9" w14:textId="77777777" w:rsidR="00A71DB0" w:rsidRDefault="00A71D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BD409" w14:textId="15FA9B5B" w:rsidR="00667792" w:rsidRDefault="00181831">
    <w:r>
      <w:rPr>
        <w:noProof/>
        <w:bdr w:val="none" w:sz="0" w:space="0" w:color="auto" w:frame="1"/>
      </w:rPr>
      <w:drawing>
        <wp:inline distT="0" distB="0" distL="0" distR="0" wp14:anchorId="5C56DD8E" wp14:editId="293CA109">
          <wp:extent cx="2286000" cy="723900"/>
          <wp:effectExtent l="0" t="0" r="0" b="0"/>
          <wp:docPr id="4291029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7239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B62547"/>
    <w:multiLevelType w:val="hybridMultilevel"/>
    <w:tmpl w:val="A42CBE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A3C33F3"/>
    <w:multiLevelType w:val="multilevel"/>
    <w:tmpl w:val="3DA8B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32577A"/>
    <w:multiLevelType w:val="multilevel"/>
    <w:tmpl w:val="3E0EE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72014D6"/>
    <w:multiLevelType w:val="multilevel"/>
    <w:tmpl w:val="FCFE4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A6012DC"/>
    <w:multiLevelType w:val="multilevel"/>
    <w:tmpl w:val="6B12F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01301109">
    <w:abstractNumId w:val="2"/>
  </w:num>
  <w:num w:numId="2" w16cid:durableId="871309941">
    <w:abstractNumId w:val="3"/>
  </w:num>
  <w:num w:numId="3" w16cid:durableId="361904244">
    <w:abstractNumId w:val="4"/>
  </w:num>
  <w:num w:numId="4" w16cid:durableId="88428131">
    <w:abstractNumId w:val="1"/>
  </w:num>
  <w:num w:numId="5" w16cid:durableId="1574983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792"/>
    <w:rsid w:val="0002018A"/>
    <w:rsid w:val="00040FEB"/>
    <w:rsid w:val="000414DB"/>
    <w:rsid w:val="000805B6"/>
    <w:rsid w:val="000A2538"/>
    <w:rsid w:val="000B309B"/>
    <w:rsid w:val="000C2C89"/>
    <w:rsid w:val="000D031E"/>
    <w:rsid w:val="000F0056"/>
    <w:rsid w:val="001156F4"/>
    <w:rsid w:val="00161B7B"/>
    <w:rsid w:val="0017459F"/>
    <w:rsid w:val="00175200"/>
    <w:rsid w:val="001759DA"/>
    <w:rsid w:val="00181831"/>
    <w:rsid w:val="00187DD8"/>
    <w:rsid w:val="00194DBD"/>
    <w:rsid w:val="001A1354"/>
    <w:rsid w:val="001C1E59"/>
    <w:rsid w:val="001C6EC8"/>
    <w:rsid w:val="001E533C"/>
    <w:rsid w:val="001F38E3"/>
    <w:rsid w:val="001F51A2"/>
    <w:rsid w:val="00201E2C"/>
    <w:rsid w:val="0021653B"/>
    <w:rsid w:val="00216B5F"/>
    <w:rsid w:val="00286331"/>
    <w:rsid w:val="00293CBD"/>
    <w:rsid w:val="002A1665"/>
    <w:rsid w:val="002C0C54"/>
    <w:rsid w:val="002C18AA"/>
    <w:rsid w:val="002D183A"/>
    <w:rsid w:val="002E0332"/>
    <w:rsid w:val="002E630B"/>
    <w:rsid w:val="002E664D"/>
    <w:rsid w:val="0030283A"/>
    <w:rsid w:val="00305F95"/>
    <w:rsid w:val="00307FBA"/>
    <w:rsid w:val="0033140D"/>
    <w:rsid w:val="00336BFD"/>
    <w:rsid w:val="00357548"/>
    <w:rsid w:val="0036715A"/>
    <w:rsid w:val="003751C3"/>
    <w:rsid w:val="003B44C7"/>
    <w:rsid w:val="003D6439"/>
    <w:rsid w:val="00425BCC"/>
    <w:rsid w:val="0044539C"/>
    <w:rsid w:val="00451053"/>
    <w:rsid w:val="00485B15"/>
    <w:rsid w:val="004A3AAA"/>
    <w:rsid w:val="004B6B0F"/>
    <w:rsid w:val="004C29B9"/>
    <w:rsid w:val="004D0D58"/>
    <w:rsid w:val="004E1053"/>
    <w:rsid w:val="005132E6"/>
    <w:rsid w:val="005238CD"/>
    <w:rsid w:val="00534849"/>
    <w:rsid w:val="00591C13"/>
    <w:rsid w:val="005A4844"/>
    <w:rsid w:val="005E1CC4"/>
    <w:rsid w:val="005E3256"/>
    <w:rsid w:val="005E4A42"/>
    <w:rsid w:val="005F6809"/>
    <w:rsid w:val="006118BB"/>
    <w:rsid w:val="006308CB"/>
    <w:rsid w:val="006326D8"/>
    <w:rsid w:val="00655D30"/>
    <w:rsid w:val="00664A0C"/>
    <w:rsid w:val="00667792"/>
    <w:rsid w:val="00675602"/>
    <w:rsid w:val="0068603B"/>
    <w:rsid w:val="006924A1"/>
    <w:rsid w:val="006A04F8"/>
    <w:rsid w:val="006A48FB"/>
    <w:rsid w:val="006C6D1C"/>
    <w:rsid w:val="00706B6C"/>
    <w:rsid w:val="007176EF"/>
    <w:rsid w:val="0075217C"/>
    <w:rsid w:val="007663EB"/>
    <w:rsid w:val="007C79A2"/>
    <w:rsid w:val="007F20BC"/>
    <w:rsid w:val="008031FA"/>
    <w:rsid w:val="0080497D"/>
    <w:rsid w:val="008674FD"/>
    <w:rsid w:val="00872248"/>
    <w:rsid w:val="00873B11"/>
    <w:rsid w:val="00882D26"/>
    <w:rsid w:val="00891B07"/>
    <w:rsid w:val="008A7315"/>
    <w:rsid w:val="008B6D6B"/>
    <w:rsid w:val="008C149B"/>
    <w:rsid w:val="008F0B5A"/>
    <w:rsid w:val="009307EB"/>
    <w:rsid w:val="009544FA"/>
    <w:rsid w:val="009A311B"/>
    <w:rsid w:val="009A3325"/>
    <w:rsid w:val="009B1AF8"/>
    <w:rsid w:val="009B39B6"/>
    <w:rsid w:val="00A042E6"/>
    <w:rsid w:val="00A05153"/>
    <w:rsid w:val="00A37F16"/>
    <w:rsid w:val="00A44736"/>
    <w:rsid w:val="00A50F06"/>
    <w:rsid w:val="00A71DB0"/>
    <w:rsid w:val="00AB53E4"/>
    <w:rsid w:val="00AC0B44"/>
    <w:rsid w:val="00AC6374"/>
    <w:rsid w:val="00AD728D"/>
    <w:rsid w:val="00AE4DBE"/>
    <w:rsid w:val="00B02DFF"/>
    <w:rsid w:val="00B12304"/>
    <w:rsid w:val="00B264A6"/>
    <w:rsid w:val="00B4492C"/>
    <w:rsid w:val="00B557DD"/>
    <w:rsid w:val="00B82F14"/>
    <w:rsid w:val="00B92D95"/>
    <w:rsid w:val="00BA5EC4"/>
    <w:rsid w:val="00BC3A11"/>
    <w:rsid w:val="00BE38B3"/>
    <w:rsid w:val="00BE6814"/>
    <w:rsid w:val="00BF24AF"/>
    <w:rsid w:val="00C01127"/>
    <w:rsid w:val="00C129EE"/>
    <w:rsid w:val="00C144AF"/>
    <w:rsid w:val="00C37658"/>
    <w:rsid w:val="00C713DF"/>
    <w:rsid w:val="00C849FA"/>
    <w:rsid w:val="00CE5680"/>
    <w:rsid w:val="00CF0A66"/>
    <w:rsid w:val="00D03E13"/>
    <w:rsid w:val="00D252BD"/>
    <w:rsid w:val="00D31C49"/>
    <w:rsid w:val="00D60331"/>
    <w:rsid w:val="00DB53E6"/>
    <w:rsid w:val="00DB619D"/>
    <w:rsid w:val="00DC03E6"/>
    <w:rsid w:val="00DD2A2B"/>
    <w:rsid w:val="00DE4388"/>
    <w:rsid w:val="00DE4BA8"/>
    <w:rsid w:val="00E07ACD"/>
    <w:rsid w:val="00E250A5"/>
    <w:rsid w:val="00E4024E"/>
    <w:rsid w:val="00E404AD"/>
    <w:rsid w:val="00E53FB4"/>
    <w:rsid w:val="00E64512"/>
    <w:rsid w:val="00EB1A01"/>
    <w:rsid w:val="00ED3DD3"/>
    <w:rsid w:val="00ED5134"/>
    <w:rsid w:val="00ED712D"/>
    <w:rsid w:val="00EF1D6B"/>
    <w:rsid w:val="00F13C51"/>
    <w:rsid w:val="00F21154"/>
    <w:rsid w:val="00F22F4E"/>
    <w:rsid w:val="00F243CC"/>
    <w:rsid w:val="00F41153"/>
    <w:rsid w:val="00F41FCF"/>
    <w:rsid w:val="00F44ED8"/>
    <w:rsid w:val="00F64D04"/>
    <w:rsid w:val="00F714F7"/>
    <w:rsid w:val="00F90C47"/>
    <w:rsid w:val="00FC2A13"/>
    <w:rsid w:val="00FE67E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3F328"/>
  <w15:docId w15:val="{3098F08A-5A59-4E33-B289-926B080A6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arlow" w:eastAsia="Barlow" w:hAnsi="Barlow" w:cs="Barlow"/>
        <w:color w:val="244657"/>
        <w:sz w:val="24"/>
        <w:szCs w:val="24"/>
        <w:lang w:val="fr-CA" w:eastAsia="en-CA" w:bidi="ar-SA"/>
      </w:rPr>
    </w:rPrDefault>
    <w:pPrDefault>
      <w:pPr>
        <w:spacing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b/>
      <w:color w:val="7FC8F0"/>
      <w:sz w:val="36"/>
      <w:szCs w:val="36"/>
    </w:rPr>
  </w:style>
  <w:style w:type="paragraph" w:styleId="Titre2">
    <w:name w:val="heading 2"/>
    <w:basedOn w:val="Normal"/>
    <w:next w:val="Normal"/>
    <w:uiPriority w:val="9"/>
    <w:semiHidden/>
    <w:unhideWhenUsed/>
    <w:qFormat/>
    <w:pPr>
      <w:keepNext/>
      <w:keepLines/>
      <w:spacing w:before="360" w:after="120"/>
      <w:outlineLvl w:val="1"/>
    </w:pPr>
    <w:rPr>
      <w:rFonts w:ascii="Barlow SemiBold" w:eastAsia="Barlow SemiBold" w:hAnsi="Barlow SemiBold" w:cs="Barlow SemiBold"/>
      <w:sz w:val="32"/>
      <w:szCs w:val="32"/>
    </w:rPr>
  </w:style>
  <w:style w:type="paragraph" w:styleId="Titre3">
    <w:name w:val="heading 3"/>
    <w:basedOn w:val="Normal"/>
    <w:next w:val="Normal"/>
    <w:uiPriority w:val="9"/>
    <w:semiHidden/>
    <w:unhideWhenUsed/>
    <w:qFormat/>
    <w:pPr>
      <w:keepNext/>
      <w:keepLines/>
      <w:spacing w:before="320" w:after="80"/>
      <w:outlineLvl w:val="2"/>
    </w:pPr>
    <w:rPr>
      <w:rFonts w:ascii="Barlow Medium" w:eastAsia="Barlow Medium" w:hAnsi="Barlow Medium" w:cs="Barlow Medium"/>
      <w:color w:val="7FC8F0"/>
      <w:sz w:val="28"/>
      <w:szCs w:val="28"/>
    </w:rPr>
  </w:style>
  <w:style w:type="paragraph" w:styleId="Titre4">
    <w:name w:val="heading 4"/>
    <w:basedOn w:val="Normal"/>
    <w:next w:val="Normal"/>
    <w:uiPriority w:val="9"/>
    <w:semiHidden/>
    <w:unhideWhenUsed/>
    <w:qFormat/>
    <w:pPr>
      <w:keepNext/>
      <w:keepLines/>
      <w:spacing w:before="280" w:after="80"/>
      <w:outlineLvl w:val="3"/>
    </w:pPr>
    <w:rPr>
      <w:rFonts w:ascii="Barlow SemiBold" w:eastAsia="Barlow SemiBold" w:hAnsi="Barlow SemiBold" w:cs="Barlow SemiBold"/>
      <w:color w:val="666666"/>
      <w:sz w:val="28"/>
      <w:szCs w:val="28"/>
    </w:rPr>
  </w:style>
  <w:style w:type="paragraph" w:styleId="Titre5">
    <w:name w:val="heading 5"/>
    <w:basedOn w:val="Normal"/>
    <w:next w:val="Normal"/>
    <w:uiPriority w:val="9"/>
    <w:semiHidden/>
    <w:unhideWhenUsed/>
    <w:qFormat/>
    <w:pPr>
      <w:keepNext/>
      <w:keepLines/>
      <w:spacing w:before="240" w:after="80"/>
      <w:outlineLvl w:val="4"/>
    </w:pPr>
    <w:rPr>
      <w:rFonts w:ascii="Barlow SemiBold" w:eastAsia="Barlow SemiBold" w:hAnsi="Barlow SemiBold" w:cs="Barlow SemiBold"/>
      <w:color w:val="7FC8F0"/>
    </w:rPr>
  </w:style>
  <w:style w:type="paragraph" w:styleId="Titre6">
    <w:name w:val="heading 6"/>
    <w:basedOn w:val="Normal"/>
    <w:next w:val="Normal"/>
    <w:uiPriority w:val="9"/>
    <w:semiHidden/>
    <w:unhideWhenUsed/>
    <w:qFormat/>
    <w:pPr>
      <w:keepNext/>
      <w:keepLines/>
      <w:spacing w:before="240" w:after="80"/>
      <w:outlineLvl w:val="5"/>
    </w:pPr>
    <w:rPr>
      <w:rFonts w:ascii="Barlow Medium" w:eastAsia="Barlow Medium" w:hAnsi="Barlow Medium" w:cs="Barlow Medium"/>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0" w:line="240" w:lineRule="auto"/>
    </w:pPr>
    <w:rPr>
      <w:b/>
      <w:color w:val="7FC8F0"/>
      <w:sz w:val="46"/>
      <w:szCs w:val="46"/>
    </w:rPr>
  </w:style>
  <w:style w:type="paragraph" w:styleId="Sous-titre">
    <w:name w:val="Subtitle"/>
    <w:basedOn w:val="Normal"/>
    <w:next w:val="Normal"/>
    <w:uiPriority w:val="11"/>
    <w:qFormat/>
    <w:pPr>
      <w:keepNext/>
      <w:keepLines/>
      <w:spacing w:after="320"/>
    </w:pPr>
    <w:rPr>
      <w:rFonts w:ascii="Barlow Light" w:eastAsia="Barlow Light" w:hAnsi="Barlow Light" w:cs="Barlow Light"/>
      <w:color w:val="7FC8F0"/>
      <w:sz w:val="44"/>
      <w:szCs w:val="44"/>
    </w:rPr>
  </w:style>
  <w:style w:type="paragraph" w:styleId="En-tte">
    <w:name w:val="header"/>
    <w:basedOn w:val="Normal"/>
    <w:link w:val="En-tteCar"/>
    <w:uiPriority w:val="99"/>
    <w:unhideWhenUsed/>
    <w:rsid w:val="00181831"/>
    <w:pPr>
      <w:tabs>
        <w:tab w:val="center" w:pos="4680"/>
        <w:tab w:val="right" w:pos="9360"/>
      </w:tabs>
      <w:spacing w:after="0" w:line="240" w:lineRule="auto"/>
    </w:pPr>
  </w:style>
  <w:style w:type="character" w:customStyle="1" w:styleId="En-tteCar">
    <w:name w:val="En-tête Car"/>
    <w:basedOn w:val="Policepardfaut"/>
    <w:link w:val="En-tte"/>
    <w:uiPriority w:val="99"/>
    <w:rsid w:val="00181831"/>
  </w:style>
  <w:style w:type="paragraph" w:styleId="Pieddepage">
    <w:name w:val="footer"/>
    <w:basedOn w:val="Normal"/>
    <w:link w:val="PieddepageCar"/>
    <w:uiPriority w:val="99"/>
    <w:unhideWhenUsed/>
    <w:rsid w:val="00181831"/>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181831"/>
  </w:style>
  <w:style w:type="paragraph" w:styleId="NormalWeb">
    <w:name w:val="Normal (Web)"/>
    <w:basedOn w:val="Normal"/>
    <w:uiPriority w:val="99"/>
    <w:semiHidden/>
    <w:unhideWhenUsed/>
    <w:rsid w:val="00181831"/>
    <w:rPr>
      <w:rFonts w:ascii="Times New Roman" w:hAnsi="Times New Roman" w:cs="Times New Roman"/>
    </w:rPr>
  </w:style>
  <w:style w:type="character" w:styleId="Lienhypertexte">
    <w:name w:val="Hyperlink"/>
    <w:basedOn w:val="Policepardfaut"/>
    <w:uiPriority w:val="99"/>
    <w:unhideWhenUsed/>
    <w:rsid w:val="00357548"/>
    <w:rPr>
      <w:color w:val="0000FF" w:themeColor="hyperlink"/>
      <w:u w:val="single"/>
    </w:rPr>
  </w:style>
  <w:style w:type="character" w:styleId="Mentionnonrsolue">
    <w:name w:val="Unresolved Mention"/>
    <w:basedOn w:val="Policepardfaut"/>
    <w:uiPriority w:val="99"/>
    <w:semiHidden/>
    <w:unhideWhenUsed/>
    <w:rsid w:val="00357548"/>
    <w:rPr>
      <w:color w:val="605E5C"/>
      <w:shd w:val="clear" w:color="auto" w:fill="E1DFDD"/>
    </w:rPr>
  </w:style>
  <w:style w:type="paragraph" w:styleId="Paragraphedeliste">
    <w:name w:val="List Paragraph"/>
    <w:basedOn w:val="Normal"/>
    <w:uiPriority w:val="34"/>
    <w:qFormat/>
    <w:rsid w:val="00E07ACD"/>
    <w:pPr>
      <w:spacing w:after="160" w:line="278" w:lineRule="auto"/>
      <w:ind w:left="720"/>
      <w:contextualSpacing/>
    </w:pPr>
    <w:rPr>
      <w:rFonts w:asciiTheme="minorHAnsi" w:eastAsiaTheme="minorHAnsi" w:hAnsiTheme="minorHAnsi" w:cstheme="minorBidi"/>
      <w:color w:val="auto"/>
      <w:kern w:val="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570888">
      <w:bodyDiv w:val="1"/>
      <w:marLeft w:val="0"/>
      <w:marRight w:val="0"/>
      <w:marTop w:val="0"/>
      <w:marBottom w:val="0"/>
      <w:divBdr>
        <w:top w:val="none" w:sz="0" w:space="0" w:color="auto"/>
        <w:left w:val="none" w:sz="0" w:space="0" w:color="auto"/>
        <w:bottom w:val="none" w:sz="0" w:space="0" w:color="auto"/>
        <w:right w:val="none" w:sz="0" w:space="0" w:color="auto"/>
      </w:divBdr>
    </w:div>
    <w:div w:id="277883431">
      <w:bodyDiv w:val="1"/>
      <w:marLeft w:val="0"/>
      <w:marRight w:val="0"/>
      <w:marTop w:val="0"/>
      <w:marBottom w:val="0"/>
      <w:divBdr>
        <w:top w:val="none" w:sz="0" w:space="0" w:color="auto"/>
        <w:left w:val="none" w:sz="0" w:space="0" w:color="auto"/>
        <w:bottom w:val="none" w:sz="0" w:space="0" w:color="auto"/>
        <w:right w:val="none" w:sz="0" w:space="0" w:color="auto"/>
      </w:divBdr>
    </w:div>
    <w:div w:id="285743158">
      <w:bodyDiv w:val="1"/>
      <w:marLeft w:val="0"/>
      <w:marRight w:val="0"/>
      <w:marTop w:val="0"/>
      <w:marBottom w:val="0"/>
      <w:divBdr>
        <w:top w:val="none" w:sz="0" w:space="0" w:color="auto"/>
        <w:left w:val="none" w:sz="0" w:space="0" w:color="auto"/>
        <w:bottom w:val="none" w:sz="0" w:space="0" w:color="auto"/>
        <w:right w:val="none" w:sz="0" w:space="0" w:color="auto"/>
      </w:divBdr>
    </w:div>
    <w:div w:id="347491065">
      <w:bodyDiv w:val="1"/>
      <w:marLeft w:val="0"/>
      <w:marRight w:val="0"/>
      <w:marTop w:val="0"/>
      <w:marBottom w:val="0"/>
      <w:divBdr>
        <w:top w:val="none" w:sz="0" w:space="0" w:color="auto"/>
        <w:left w:val="none" w:sz="0" w:space="0" w:color="auto"/>
        <w:bottom w:val="none" w:sz="0" w:space="0" w:color="auto"/>
        <w:right w:val="none" w:sz="0" w:space="0" w:color="auto"/>
      </w:divBdr>
    </w:div>
    <w:div w:id="627126580">
      <w:bodyDiv w:val="1"/>
      <w:marLeft w:val="0"/>
      <w:marRight w:val="0"/>
      <w:marTop w:val="0"/>
      <w:marBottom w:val="0"/>
      <w:divBdr>
        <w:top w:val="none" w:sz="0" w:space="0" w:color="auto"/>
        <w:left w:val="none" w:sz="0" w:space="0" w:color="auto"/>
        <w:bottom w:val="none" w:sz="0" w:space="0" w:color="auto"/>
        <w:right w:val="none" w:sz="0" w:space="0" w:color="auto"/>
      </w:divBdr>
    </w:div>
    <w:div w:id="659314490">
      <w:bodyDiv w:val="1"/>
      <w:marLeft w:val="0"/>
      <w:marRight w:val="0"/>
      <w:marTop w:val="0"/>
      <w:marBottom w:val="0"/>
      <w:divBdr>
        <w:top w:val="none" w:sz="0" w:space="0" w:color="auto"/>
        <w:left w:val="none" w:sz="0" w:space="0" w:color="auto"/>
        <w:bottom w:val="none" w:sz="0" w:space="0" w:color="auto"/>
        <w:right w:val="none" w:sz="0" w:space="0" w:color="auto"/>
      </w:divBdr>
    </w:div>
    <w:div w:id="740836589">
      <w:bodyDiv w:val="1"/>
      <w:marLeft w:val="0"/>
      <w:marRight w:val="0"/>
      <w:marTop w:val="0"/>
      <w:marBottom w:val="0"/>
      <w:divBdr>
        <w:top w:val="none" w:sz="0" w:space="0" w:color="auto"/>
        <w:left w:val="none" w:sz="0" w:space="0" w:color="auto"/>
        <w:bottom w:val="none" w:sz="0" w:space="0" w:color="auto"/>
        <w:right w:val="none" w:sz="0" w:space="0" w:color="auto"/>
      </w:divBdr>
    </w:div>
    <w:div w:id="791946415">
      <w:bodyDiv w:val="1"/>
      <w:marLeft w:val="0"/>
      <w:marRight w:val="0"/>
      <w:marTop w:val="0"/>
      <w:marBottom w:val="0"/>
      <w:divBdr>
        <w:top w:val="none" w:sz="0" w:space="0" w:color="auto"/>
        <w:left w:val="none" w:sz="0" w:space="0" w:color="auto"/>
        <w:bottom w:val="none" w:sz="0" w:space="0" w:color="auto"/>
        <w:right w:val="none" w:sz="0" w:space="0" w:color="auto"/>
      </w:divBdr>
    </w:div>
    <w:div w:id="791947506">
      <w:bodyDiv w:val="1"/>
      <w:marLeft w:val="0"/>
      <w:marRight w:val="0"/>
      <w:marTop w:val="0"/>
      <w:marBottom w:val="0"/>
      <w:divBdr>
        <w:top w:val="none" w:sz="0" w:space="0" w:color="auto"/>
        <w:left w:val="none" w:sz="0" w:space="0" w:color="auto"/>
        <w:bottom w:val="none" w:sz="0" w:space="0" w:color="auto"/>
        <w:right w:val="none" w:sz="0" w:space="0" w:color="auto"/>
      </w:divBdr>
    </w:div>
    <w:div w:id="1198589290">
      <w:bodyDiv w:val="1"/>
      <w:marLeft w:val="0"/>
      <w:marRight w:val="0"/>
      <w:marTop w:val="0"/>
      <w:marBottom w:val="0"/>
      <w:divBdr>
        <w:top w:val="none" w:sz="0" w:space="0" w:color="auto"/>
        <w:left w:val="none" w:sz="0" w:space="0" w:color="auto"/>
        <w:bottom w:val="none" w:sz="0" w:space="0" w:color="auto"/>
        <w:right w:val="none" w:sz="0" w:space="0" w:color="auto"/>
      </w:divBdr>
    </w:div>
    <w:div w:id="1591618266">
      <w:bodyDiv w:val="1"/>
      <w:marLeft w:val="0"/>
      <w:marRight w:val="0"/>
      <w:marTop w:val="0"/>
      <w:marBottom w:val="0"/>
      <w:divBdr>
        <w:top w:val="none" w:sz="0" w:space="0" w:color="auto"/>
        <w:left w:val="none" w:sz="0" w:space="0" w:color="auto"/>
        <w:bottom w:val="none" w:sz="0" w:space="0" w:color="auto"/>
        <w:right w:val="none" w:sz="0" w:space="0" w:color="auto"/>
      </w:divBdr>
    </w:div>
    <w:div w:id="1632783039">
      <w:bodyDiv w:val="1"/>
      <w:marLeft w:val="0"/>
      <w:marRight w:val="0"/>
      <w:marTop w:val="0"/>
      <w:marBottom w:val="0"/>
      <w:divBdr>
        <w:top w:val="none" w:sz="0" w:space="0" w:color="auto"/>
        <w:left w:val="none" w:sz="0" w:space="0" w:color="auto"/>
        <w:bottom w:val="none" w:sz="0" w:space="0" w:color="auto"/>
        <w:right w:val="none" w:sz="0" w:space="0" w:color="auto"/>
      </w:divBdr>
    </w:div>
    <w:div w:id="1944193133">
      <w:bodyDiv w:val="1"/>
      <w:marLeft w:val="0"/>
      <w:marRight w:val="0"/>
      <w:marTop w:val="0"/>
      <w:marBottom w:val="0"/>
      <w:divBdr>
        <w:top w:val="none" w:sz="0" w:space="0" w:color="auto"/>
        <w:left w:val="none" w:sz="0" w:space="0" w:color="auto"/>
        <w:bottom w:val="none" w:sz="0" w:space="0" w:color="auto"/>
        <w:right w:val="none" w:sz="0" w:space="0" w:color="auto"/>
      </w:divBdr>
    </w:div>
    <w:div w:id="1997220791">
      <w:bodyDiv w:val="1"/>
      <w:marLeft w:val="0"/>
      <w:marRight w:val="0"/>
      <w:marTop w:val="0"/>
      <w:marBottom w:val="0"/>
      <w:divBdr>
        <w:top w:val="none" w:sz="0" w:space="0" w:color="auto"/>
        <w:left w:val="none" w:sz="0" w:space="0" w:color="auto"/>
        <w:bottom w:val="none" w:sz="0" w:space="0" w:color="auto"/>
        <w:right w:val="none" w:sz="0" w:space="0" w:color="auto"/>
      </w:divBdr>
    </w:div>
    <w:div w:id="20573100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jean-maxime@flanaganrp.com" TargetMode="External"/><Relationship Id="rId3" Type="http://schemas.openxmlformats.org/officeDocument/2006/relationships/settings" Target="settings.xml"/><Relationship Id="rId7" Type="http://schemas.openxmlformats.org/officeDocument/2006/relationships/hyperlink" Target="http://www.itinerance.ca/declaratio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518</Words>
  <Characters>2855</Characters>
  <Application>Microsoft Office Word</Application>
  <DocSecurity>4</DocSecurity>
  <Lines>23</Lines>
  <Paragraphs>6</Paragraphs>
  <ScaleCrop>false</ScaleCrop>
  <Company/>
  <LinksUpToDate>false</LinksUpToDate>
  <CharactersWithSpaces>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Tousignant</dc:creator>
  <cp:lastModifiedBy>Julia Ouellet</cp:lastModifiedBy>
  <cp:revision>2</cp:revision>
  <dcterms:created xsi:type="dcterms:W3CDTF">2025-04-24T21:26:00Z</dcterms:created>
  <dcterms:modified xsi:type="dcterms:W3CDTF">2025-04-24T21:26:00Z</dcterms:modified>
</cp:coreProperties>
</file>